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2012/148 vom 19. August 2013</w:t>
      </w:r>
    </w:p>
    <w:p>
      <w:r>
        <w:t>Sg Versicherungsgericht, 2013-08-19, DE</w:t>
      </w:r>
    </w:p>
    <w:p>
      <w:r>
        <w:rPr>
          <w:b/>
        </w:rPr>
        <w:t xml:space="preserve">Quelle: </w:t>
      </w:r>
      <w:r>
        <w:t>https://mcp.opencaselaw.ch/entscheid/sg_publikationen_IV 2012_148</w:t>
      </w:r>
    </w:p>
    <w:p>
      <w:r>
        <w:t>FR: SG_VERSICHERUNGSGERICHT IV 2012/148 du 19 août 2013</w:t>
      </w:r>
    </w:p>
    <w:p>
      <w:r>
        <w:t>IT: SG_VERSICHERUNGSGERICHT IV 2012/148 del 19 agosto 2013</w:t>
      </w:r>
    </w:p>
    <w:p>
      <w:pPr>
        <w:pStyle w:val="Heading2"/>
      </w:pPr>
      <w:r>
        <w:t>Regeste</w:t>
      </w:r>
    </w:p>
    <w:p>
      <w:r>
        <w:t>Art. 43 ATSG. Würdigung eines versicherungsinternen fachärztlichen Berichts sowie weiterer medizinischer Berichte. Zweifel am RAD-Bericht rechtfertigen die Einholung eines versicherungsexternen Gutachtens (Entscheid des Versicherungsgerichts des Kantons St. Gallen vom 19. August 2013, IV 2012/148).</w:t>
      </w:r>
    </w:p>
    <w:p>
      <w:pPr>
        <w:pStyle w:val="Heading2"/>
      </w:pPr>
      <w:r>
        <w:t>Erwägungen</w:t>
      </w:r>
    </w:p>
    <w:p>
      <w:r>
        <w:rPr>
          <w:b/>
        </w:rPr>
        <w:t>E. 1</w:t>
      </w:r>
    </w:p>
    <w:p>
      <w:r>
        <w:t>1.1   Die Beantwortung der Frage, ob ein Rentenanspruch besteht, setzt die Bemessung des Arbeitsunfähigkeits- und Invaliditätsgrades voraus. Dafür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256 E. 4 S. 261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351 E. 3a S. 352). 1.2   Aus dem Grundsatz der Waffengleichheit folgt das Recht der versicherten Person, mittels eigener Beweismittel die Zuverlässigkeit und Schlüssigkeit allfälliger ärztlicher Feststellungen versicherungsinterner Fachpersonen in Zweifel zu ziehen. Wecken die von der versicherten Person aufgelegten Berichte auch nur geringe Zweifel an der Zu­verlässigkeit und Schlüssigkeit der Feststellungen versicherungsinterner Ärzte, ist ein versicherungsexternes Gutachten zur Klärung der strittigen medizinischen Fragen ein­zuholen (BGE 135 V 465 E. 4.5 f. S. 470 f.).</w:t>
      </w:r>
    </w:p>
    <w:p>
      <w:r>
        <w:rPr>
          <w:b/>
        </w:rPr>
        <w:t>E. 2</w:t>
      </w:r>
    </w:p>
    <w:p>
      <w:r>
        <w:t>2.1   Die angefochtene Verfügung stützt sich in medizinischer Hinsicht auf die Stellung­nahme des RAD-Arztes Dr. B.___ vom 11. Januar 2012 (IV-act. 75). Dr. B.___ hat ausgeführt, typisch für schizophrene Erkrankungen seien Schwankungen mit Phasen, in denen sich ein akutes Krankheitsbild, welches sich nicht mit einer Arbeitsfähigkeit vereinbaren lasse, zeige, und Phasen, in denen eine Restarbeitsfähigkeit gegeben sei. Im Wesentlichen hänge die psychische Stabilität und damit die Arbeitsfähigkeit von der Balance zwischen Entlastung und Anforderung ab. Bei Überforderung sei in der Regel mit einer Dekompensation zu rechnen. Bei der Beschwerdeführerin sei die De­kompensation Mitte 2011 mit stationärer Behandlungsbedürftigkeit als Folge einer (zu vermutenden beruflichen) Überforderung zu verstehen bzw. interpretierbar. Grund­sätzlich sei davon auszugehen, dass nach erfolgter Behandlung der Vorzustand wieder erreicht sei und gegenwärtig wieder von einem stabilen Gesundheitszustand ausge­gangen werden könne. In Bezug auf die angestammte Tätigkeit könne gemäss Bericht von Dr. G.___ und den Ergebnissen des Arbeitstrainings von einer 50%igen Arbeits­fähigkeit ausgegangen werden. In adaptierten Tätigkeiten sei die Arbeitsfähigkeit höher, nämlich etwa 67–80 %. Hierzu verwies Dr. B.___ insbesondere auf den Bericht von Dr. C.___ vom 31. Januar 2011 und den Bericht von Dr. G.___ vom 15. Dezember 2011. Dr. C.___ hatte in seinem Bericht vom 31. Januar 2011 eine Arbeitsfähig­keit von 80 % für adaptierte Tätigkeiten angegeben, wobei allerdings davon auszu­gehen ist, dass er diesbezüglich auf das Pensum des damals gerade erst begonnenen Praktikums im Altersheim abgestellt hatte (vgl. IV-act. 61). Dr. G.___ hatte in seinem Bericht vom 15. Dezember 2011 eine Arbeitsfähigkeit von 50 % angegeben und hin­sichtlich adaptierter Tätigkeiten ausgeführt, die Versicherte brauche etwa einen Drittel bis zur Hälfte mehr Zeit, um ihre Arbeit zu bewältigen (IV-act. 74). Die adaptierten Tätig­keiten wurden (in Abgrenzung zur angestammten Tätigkeit) allerdings nicht näher umschrieben. Die Beschwerdegegnerin hat in der Folge auf den Mittelwert des von Dr. B.___ angegebenen Spektrums (67–80 %) abgestellt und entsprechend eine Leistungsfähigkeit von 73,5 % bzw. 70 % angenommen. 2.2   Obwohl die Ausführungen von Dr. B.___ theoretisch überzeugend scheinen und in gewissem Rahmen Übereinstimmung zwischen seiner Einschätzung und den Ein­schätzungen sowohl der behandelnden Fachärzte als auch der beruflichen Abklärungs­stellen vorliegt, bestehen Zweifel an der Zuverlässigkeit des letztlich angegebenen Arbeitsfähigkeitsgrades von 70 %. Die Schätzungen sowohl der behandelnden Fach­ärzte als auch der beruflichen Abklärungsstellen bewegen sich – teilweise bereits unter Berücksichtigung adaptierter Arbeitsbedingungen – eher im Bereich von 50 %. Einzig Dr. C.___ attestierte eine wesentlich höhere Arbeitsfähigkeit. Seine Schätzung überzeugt aber nicht, weil er sich augenscheinlich an den damaligen tatsächlichen Ver­hältnissen orientierte und auf das mit dem Altersheim vereinbarte Pensum abstellte, obwohl das Arbeitsverhältnis gerade erst begonnen hatte und daher nicht sicher war, ob die Beschwerdeführerin die entsprechende Leistung über einen längeren Zeitraum hin­weg würde erbringen können. Tatsächlich führte die berufliche Belastung im Rahmen dieser Tätigkeit zu einer zweiten Dekompensation, und dies obwohl die Beschwerde­führerin intensiv begleitet und unterstützt wurde, unter anderem durch eine persönliche Ansprechperson des Vereins I.___. Auch Dr. G.___ hat primär eine 50%ige Arbeitsfähigkeit attestiert. Der Passus, die Beschwerdeführerin würde in einer adap­tierten Tätigkeit einen Drittel bis zur Hälfte mehr Zeit benötigen, um ihre Arbeit aus­zuführen, rechtfertigt es für sich alleine nicht, von einer Arbeitsfähigkeit von 67 % aus­zugehen, zumal sich Dr. G.___ offenbar auch noch nicht definitiv festlegen wollte. Vor diesem Hintergrund erscheint die zusammenfassende Beurteilung des RAD-Arztes Dr. B.___ zu optimistisch. Zu bemängeln ist zudem, dass sich weder dem Bericht von Dr. B.___ noch den anderen medizinischen Berichten nähere Ausführungen zu leidens­adaptierten Tätigkeiten entnehmen lassen. Die Ärzte nahmen zwar Bezug auf solche adaptierte Tätigkeiten, umschrieben aber nicht näher, wodurch sich diese von der ange­stammten Tätigkeit abgrenzen würden. 2.3   Die Ergebnisse des Arbeitstrainings sowie das Scheitern des Arbeitsversuchs im Altersheim wecken zusätzliche Zweifel an der optimistischen Einschätzung des RAD-Arztes Dr. B.___. Die Beschwerdeführerin konnte zudem ihren Berufsabschluss, den sie nach lediglich zweijähriger Ausbildung erhielt, offenbar nur mit Wohlwollen seitens ihrer Ausbildner erlangen. Anschlussstellen hat sie in der Folge jeweils relativ rasch wieder verloren (vgl. IV-act. 4–5). Wäre die Beschwerdeführerin tatsächlich in der Lage, über einen längeren Zeitraum hinweg mehr oder weniger konstant eine Leistung von knapp 75 % zu erbringen, hätte das Praktikum im Altersheim nicht nach so kurzer Zeit zu einer Dekompensation führen dürfen, zumal die Beschwerdeführerin während des Praktikums intensiv betreut worden war. Die Zweifel an der Arbeitsfähigkeitsschätzung werden auch durch die im Beschwerdeverfahren eingereichten Berichte (act. G 6.1 und G 6.2) genährt. 2.4   Gesamthaft rechtfertigt es sich nicht, auf den Bericht des RAD-Arztes Dr. B.___ abzustellen. Die Beschwerdegegnerin hat ein versicherungsexternes fachärztliches Gutachten einzuholen, das sich zur Arbeitsfähigkeit der Beschwerdeführerin ins­besondere in leidensangepassten Tätigkeiten und zur Frage, wodurch sich solche Tätigkeiten auszuzeichnen haben, äussert. Gestützt darauf werden auch berufliche Massnahmen nochmals zu prüfen sein.</w:t>
      </w:r>
    </w:p>
    <w:p>
      <w:r>
        <w:rPr>
          <w:b/>
        </w:rPr>
        <w:t>E. 3</w:t>
      </w:r>
    </w:p>
    <w:p>
      <w:r>
        <w:t>3.1   Die angefochtene Verfügung ist mithin in Gutheissung der Beschwerde aufzuheben und die Angelegenheit zur Durchführung weiterer Abklärungen und anschliessender Neuverfügung an die Beschwerdegegnerin zurückzuweisen. 3.2   Die gemäss Art. 69 Abs. 1 bis des Bundesgesetzes über die Invalidenversicherung (IVG; SR 831.20) zu erhebenden und angesichts des durchschnittlichen Aufwands auf Fr. 600.-- festzusetzenden Gerichtskosten sind ausgangsgemäss der unterliegenden Beschwerdegegnerin aufzuerlegen. Der Beschwerdeführerin wird der von ihr geleistete Kostenvorschuss im gleichen Betrag zurückerstattet. Demgemäss hat das Versicherungsgericht im Zirkulationsverfahren gemäss Art. 39 VRP entschieden: 1.      In Gutheissung der Beschwerde wird die Verfügung vom 15. März 2012 aufgehoben und die Angelegenheit zur Durchführung weiterer Abklärungen im Sinne der Erwägungen und anschliessender Neuverfügung an die Beschwerdegegnerin zu­rückgewiesen. 2.      Die Beschwerdegegnerin hat die Gerichtskosten von Fr. 600.-- zu bezahlen. Der Beschwerdeführerin wird der von ihr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